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20"/>
          <w:tab w:val="left" w:pos="5395" w:leader="none"/>
        </w:tabs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</w:r>
    </w:p>
    <w:tbl>
      <w:tblPr>
        <w:tblpPr w:vertAnchor="page" w:horzAnchor="margin" w:leftFromText="181" w:rightFromText="181" w:tblpX="0" w:tblpY="1735"/>
        <w:tblW w:w="32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57" w:type="dxa"/>
        </w:tblCellMar>
        <w:tblLook w:firstRow="1" w:noVBand="0" w:lastRow="0" w:firstColumn="1" w:lastColumn="0" w:noHBand="0" w:val="00a0"/>
      </w:tblPr>
      <w:tblGrid>
        <w:gridCol w:w="1590"/>
        <w:gridCol w:w="196"/>
        <w:gridCol w:w="1476"/>
      </w:tblGrid>
      <w:tr>
        <w:trPr>
          <w:trHeight w:val="139" w:hRule="exact"/>
        </w:trPr>
        <w:tc>
          <w:tcPr>
            <w:tcW w:w="1590" w:type="dxa"/>
            <w:tcBorders>
              <w:bottom w:val="single" w:sz="4" w:space="0" w:color="7F7F7F"/>
            </w:tcBorders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76" w:type="dxa"/>
            <w:tcBorders>
              <w:bottom w:val="single" w:sz="4" w:space="0" w:color="7F7F7F"/>
            </w:tcBorders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</w:tc>
      </w:tr>
      <w:tr>
        <w:trPr>
          <w:trHeight w:val="274" w:hRule="atLeast"/>
        </w:trPr>
        <w:tc>
          <w:tcPr>
            <w:tcW w:w="1590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 № 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>
            <w:pPr>
              <w:pStyle w:val="ADD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20"/>
          <w:tab w:val="center" w:pos="4320" w:leader="none"/>
          <w:tab w:val="right" w:pos="8640" w:leader="none"/>
        </w:tabs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</w:r>
    </w:p>
    <w:p>
      <w:pPr>
        <w:pStyle w:val="Normal"/>
        <w:tabs>
          <w:tab w:val="clear" w:pos="720"/>
          <w:tab w:val="center" w:pos="4320" w:leader="none"/>
          <w:tab w:val="right" w:pos="8640" w:leader="none"/>
        </w:tabs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</w:r>
    </w:p>
    <w:p>
      <w:pPr>
        <w:pStyle w:val="Normal"/>
        <w:tabs>
          <w:tab w:val="clear" w:pos="720"/>
          <w:tab w:val="center" w:pos="4320" w:leader="none"/>
          <w:tab w:val="right" w:pos="8640" w:leader="none"/>
        </w:tabs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  <w:t>Повідомлення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  <w:t xml:space="preserve">про право вимоги </w:t>
      </w:r>
    </w:p>
    <w:p>
      <w:pPr>
        <w:pStyle w:val="Normal"/>
        <w:jc w:val="both"/>
        <w:rPr>
          <w:rFonts w:ascii="Times New Roman" w:hAnsi="Times New Roman" w:eastAsia="Times New Roman"/>
          <w:b/>
          <w:bC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  <w:t>обов’язкового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  <w:t xml:space="preserve">викупу акцій, що 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val="uk-UA" w:eastAsia="ru-RU"/>
        </w:rPr>
        <w:t>належать акціонеру</w:t>
      </w: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  <w:t xml:space="preserve"> </w:t>
      </w: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>ПРАТ</w:t>
      </w: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  <w:t xml:space="preserve"> </w:t>
      </w: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>«ЮЖКОКС»</w:t>
      </w:r>
    </w:p>
    <w:p>
      <w:pPr>
        <w:pStyle w:val="Normal"/>
        <w:tabs>
          <w:tab w:val="clear" w:pos="720"/>
          <w:tab w:val="left" w:pos="7268" w:leader="none"/>
        </w:tabs>
        <w:jc w:val="both"/>
        <w:rPr>
          <w:rFonts w:ascii="Times New Roman" w:hAnsi="Times New Roman" w:eastAsia="Times New Roman"/>
          <w:b/>
          <w:cap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  <w:tab/>
      </w:r>
    </w:p>
    <w:p>
      <w:pPr>
        <w:pStyle w:val="Normal"/>
        <w:jc w:val="both"/>
        <w:rPr>
          <w:rFonts w:ascii="Times New Roman" w:hAnsi="Times New Roman" w:eastAsia="Times New Roman"/>
          <w:b/>
          <w:cap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cap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  <w:t>ШановнИй Акціонере!</w:t>
      </w:r>
    </w:p>
    <w:p>
      <w:pPr>
        <w:pStyle w:val="Normal"/>
        <w:jc w:val="center"/>
        <w:rPr>
          <w:rFonts w:ascii="Times New Roman" w:hAnsi="Times New Roman" w:eastAsia="Times New Roman"/>
          <w:b/>
          <w:caps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caps/>
          <w:sz w:val="22"/>
          <w:szCs w:val="22"/>
          <w:lang w:val="uk-UA" w:eastAsia="ru-RU"/>
        </w:rPr>
      </w:r>
    </w:p>
    <w:p>
      <w:pPr>
        <w:pStyle w:val="Normal"/>
        <w:tabs>
          <w:tab w:val="clear" w:pos="720"/>
          <w:tab w:val="left" w:pos="5526" w:leader="none"/>
        </w:tabs>
        <w:ind w:firstLine="567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У відповідності до статті 68 Закону України «Про акціонерні товариства», кожний акціонер - власник простих акцій товариства має право вимагати здійснення обов'язкового викупу акціонерним товариством належних йому голосуючих акцій, якщо він зареєструвався для участі у загальних зборах та голосував проти прийняття загальними зборами в т.ч. рішень про надання згоди на вчинення товариством значних правочинів.</w:t>
      </w:r>
    </w:p>
    <w:p>
      <w:pPr>
        <w:pStyle w:val="Normal"/>
        <w:tabs>
          <w:tab w:val="clear" w:pos="720"/>
          <w:tab w:val="left" w:pos="5526" w:leader="none"/>
        </w:tabs>
        <w:ind w:firstLine="567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Якщо Ви, як акціонер (представник акціонера) ПРАТ «ЮЖКОКС (далі - Товариство), зареєстровані для участі у річних загальних зборах акціонерів Товариства,</w:t>
      </w:r>
      <w:r>
        <w:rPr>
          <w:rFonts w:ascii="Times New Roman" w:hAnsi="Times New Roman"/>
          <w:sz w:val="22"/>
          <w:szCs w:val="22"/>
          <w:lang w:val="uk-UA"/>
        </w:rPr>
        <w:t xml:space="preserve"> 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>які призначені 20 квітня 2019 року, та голосуєте проти прийняття рішення про схвалення значних правочинів із зазначенням характеру правочинів та їх граничної сукупної вартості, у Вас, як у акціонера, наявне право вимагати здійснення Товариством обов’язкового викупу всіх належних Вам голосуючих акцій.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Викуп акцій здійснюється за ціною 0,29 грн. (нуль гривень 29 коп.), яка дорівнює ринковій вартості акцій Товариства, що визначена суб’єктом оціночної діяльності - ТОВАРИСТВО З ОБМЕЖЕНОЮ ВІДПОВІДАЛЬНІСТЮ «ОЦІНОЧНИЙ СТАНДАРТ» (ідентифікаційний код 35952305, сертифікат суб’єкта оціночної діяльності України №795/18 від 16.10.2018 виданий Фондом держмайна України).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>Строк укладання договору та порядок оплати вартості акцій ПРАТ «ЮЖКОКС».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Протягом 30 днів після прийняття Загальними зборами рішення, що стало підставою для вимоги обов’язкового викупу акцій, акціонер, який має намір реалізувати своє зазначене право, подає Товариству письмову вимогу.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У вимозі акціонера про обов'язковий викуп акцій мають бути зазначені: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–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ab/>
        <w:t>прізвище (найменування), ім’я, по батькові акціонера;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–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ab/>
        <w:t>місце проживання (місцезнаходження), контактний телефон;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–</w:t>
      </w:r>
      <w:r>
        <w:rPr>
          <w:rFonts w:eastAsia="Times New Roman" w:ascii="Times New Roman" w:hAnsi="Times New Roman"/>
          <w:sz w:val="22"/>
          <w:szCs w:val="22"/>
          <w:lang w:val="uk-UA" w:eastAsia="ru-RU"/>
        </w:rPr>
        <w:tab/>
        <w:t>кількість, тип та/або клас акцій, обов'язкового викупу яких він вимагає.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До письмової вимоги акціонером мають бути додані копії документів, що підтверджують його право власності на акції Товариства станом на дату подання письмової вимоги.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Вимога направляється листом з описом вкладення та повідомленням про вручення або надається особисто Товариству за адресою, вказаною у цьому повідомленні.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Дата пред’явлення вимоги визначається датою поштового відправлення чи датою безпосереднього вручення.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u w:val="single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 xml:space="preserve">Протягом 30 днів після отримання вимоги акціонера про обов'язковий викуп акцій Товариство, в особі Генерального директора, укладає з акціонером договір про обов'язковий викуп Товариством належних йому акцій та здійснює сплату вартості акцій за ціною викупу, </w:t>
      </w:r>
      <w:r>
        <w:rPr>
          <w:rFonts w:eastAsia="Times New Roman" w:ascii="Times New Roman" w:hAnsi="Times New Roman"/>
          <w:sz w:val="22"/>
          <w:szCs w:val="22"/>
          <w:u w:val="single"/>
          <w:lang w:val="uk-UA" w:eastAsia="ru-RU"/>
        </w:rPr>
        <w:t>а акціонер повинен вчинити усі дії, необхідні для набуття Товариством права власності на акції, обов'язкового викупу яких він вимагає.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Оплата акцій здійснюється у грошовій формі на розрахунковий рахунок акціонера.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Для укладення договору акціонер повинен звернутись до Товариства за місцезнаходженням Товариства – 51909, Дніпропетровська область, м. Кам’янське, вул. Вячеслава Чорновола, 1, будинок головної контори, офіс № 222 щоденно (крім суботи, неділі, святкових та неробочих днів) з 08:00 год. до 16:00 год. (обідня перерва з 12:00 год. до 13:00 год.) та мати при собі паспорт, ідентифікаційний код або інший документ, який посвідчує його особу, довідку з банківської установи про відкриття рахунку, представник акціонера – довіреність оформлену належним чином, а посадова особа, яка діє від імені акціонера – юридичної особи без довіреності, додатково до документу, що посвідчує його особу, належним чином засвідчені копії документів, що посвідчують його повноваження.</w:t>
      </w:r>
    </w:p>
    <w:p>
      <w:pPr>
        <w:pStyle w:val="Normal"/>
        <w:ind w:firstLine="510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 xml:space="preserve">За додатковою інформацією щодо реалізації зазначеного права прошу звертатись до уповноваженої особи Товариства Погорєлової Таїсії Василівни за тел.: (067) 287-70-91. 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>З поваго,</w:t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 xml:space="preserve">Генеральний директор </w:t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  <w:t>ПРАТ «ЮЖКОКС»                                                                                          Шабанов А.Л.</w:t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b/>
          <w:sz w:val="22"/>
          <w:szCs w:val="22"/>
          <w:lang w:val="uk-UA"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Погорєлова Т.В.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val="uk-UA" w:eastAsia="ru-RU"/>
        </w:rPr>
      </w:pPr>
      <w:r>
        <w:rPr>
          <w:rFonts w:eastAsia="Times New Roman" w:ascii="Times New Roman" w:hAnsi="Times New Roman"/>
          <w:sz w:val="22"/>
          <w:szCs w:val="22"/>
          <w:lang w:val="uk-UA" w:eastAsia="ru-RU"/>
        </w:rPr>
        <w:t>067-287-70-91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43" w:gutter="0" w:header="851" w:top="993" w:footer="987" w:bottom="141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ucida Grande">
    <w:charset w:val="cc"/>
    <w:family w:val="roman"/>
    <w:pitch w:val="variable"/>
  </w:font>
  <w:font w:name="Bookman Old Style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Franklin Gothic Book"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cc"/>
    <w:family w:val="roman"/>
    <w:pitch w:val="variable"/>
  </w:font>
  <w:font w:name="Franklin Gothic Medium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>
                          <w:pPr>
                            <w:pStyle w:val="Footer"/>
                            <w:pBdr/>
                            <w:ind w:right="3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>
                    <w:pPr>
                      <w:pStyle w:val="Footer"/>
                      <w:pBdr/>
                      <w:ind w:right="3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ru-RU"/>
      </w:rPr>
    </w:pPr>
    <w:r>
      <w:rPr>
        <w:lang w:val="ru-RU"/>
      </w:rPr>
    </w:r>
  </w:p>
  <w:p>
    <w:pPr>
      <w:pStyle w:val="Footer"/>
      <w:rPr>
        <w:rFonts w:ascii="Franklin Gothic Book" w:hAnsi="Franklin Gothic Book" w:cs="PFAgoraSansPro-Medium"/>
        <w:sz w:val="16"/>
        <w:szCs w:val="16"/>
        <w:lang w:val="ru-RU"/>
      </w:rPr>
    </w:pP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</w:t>
    </w:r>
    <w:r>
      <w:rPr>
        <w:rFonts w:cs="PFAgoraSansPro-Medium" w:ascii="Franklin Gothic Medium" w:hAnsi="Franklin Gothic Medium"/>
        <w:sz w:val="16"/>
        <w:szCs w:val="16"/>
        <w:lang w:val="ru-RU"/>
      </w:rPr>
      <w:t>Частное акционерное  общество «ЮЖКОКС»</w:t>
    </w:r>
    <w:r>
      <w:rPr>
        <w:rFonts w:ascii="Arial" w:hAnsi="Arial"/>
        <w:color w:val="E93313"/>
        <w:sz w:val="16"/>
        <w:szCs w:val="16"/>
        <w:lang w:val="ru-RU"/>
      </w:rPr>
      <w:t xml:space="preserve">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color w:val="DA291C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ул. Вячеслава Черновола, 1, г. </w:t>
    </w:r>
    <w:r>
      <w:rPr>
        <w:rFonts w:cs="Arial" w:ascii="Arial" w:hAnsi="Arial"/>
        <w:sz w:val="16"/>
        <w:szCs w:val="16"/>
        <w:lang w:val="ru-RU"/>
      </w:rPr>
      <w:t>Каменское,  Днепропетровская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область, Украина, 51909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тел. (0569) 56-52-03, факс (0569) 56-52-29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</w:rPr>
      <w:t>e</w:t>
    </w:r>
    <w:r>
      <w:rPr>
        <w:rFonts w:cs="PFAgoraSansPro-Medium" w:ascii="Franklin Gothic Book" w:hAnsi="Franklin Gothic Book"/>
        <w:sz w:val="16"/>
        <w:szCs w:val="16"/>
        <w:lang w:val="ru-RU"/>
      </w:rPr>
      <w:t>-</w:t>
    </w:r>
    <w:r>
      <w:rPr>
        <w:rFonts w:cs="PFAgoraSansPro-Medium" w:ascii="Franklin Gothic Book" w:hAnsi="Franklin Gothic Book"/>
        <w:sz w:val="16"/>
        <w:szCs w:val="16"/>
      </w:rPr>
      <w:t>mail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:  </w:t>
    </w:r>
    <w:r>
      <w:rPr>
        <w:rFonts w:cs="Arial" w:ascii="Franklin Gothic Medium" w:hAnsi="Franklin Gothic Medium"/>
        <w:sz w:val="16"/>
        <w:szCs w:val="16"/>
        <w:lang w:val="ru-RU"/>
      </w:rPr>
      <w:t>Sekretar@</w:t>
    </w:r>
    <w:r>
      <w:rPr>
        <w:rFonts w:cs="Arial" w:ascii="Franklin Gothic Medium" w:hAnsi="Franklin Gothic Medium"/>
        <w:sz w:val="16"/>
        <w:szCs w:val="16"/>
      </w:rPr>
      <w:t>bkoks</w:t>
    </w:r>
    <w:r>
      <w:rPr>
        <w:rFonts w:cs="Arial" w:ascii="Franklin Gothic Medium" w:hAnsi="Franklin Gothic Medium"/>
        <w:sz w:val="16"/>
        <w:szCs w:val="16"/>
        <w:lang w:val="ru-RU"/>
      </w:rPr>
      <w:t>.</w:t>
    </w:r>
    <w:r>
      <w:rPr>
        <w:rFonts w:cs="Arial" w:ascii="Franklin Gothic Medium" w:hAnsi="Franklin Gothic Medium"/>
        <w:sz w:val="16"/>
        <w:szCs w:val="16"/>
      </w:rPr>
      <w:t>dp</w:t>
    </w:r>
    <w:r>
      <w:rPr>
        <w:rFonts w:cs="Arial" w:ascii="Franklin Gothic Medium" w:hAnsi="Franklin Gothic Medium"/>
        <w:sz w:val="16"/>
        <w:szCs w:val="16"/>
        <w:lang w:val="ru-RU"/>
      </w:rPr>
      <w:t>.</w:t>
    </w:r>
    <w:r>
      <w:rPr>
        <w:rFonts w:cs="Arial" w:ascii="Franklin Gothic Medium" w:hAnsi="Franklin Gothic Medium"/>
        <w:sz w:val="16"/>
        <w:szCs w:val="16"/>
      </w:rPr>
      <w:t>ua</w:t>
    </w:r>
    <w:r>
      <w:rPr>
        <w:rFonts w:cs="PFAgoraSansPro-Medium" w:ascii="Franklin Gothic Book" w:hAnsi="Franklin Gothic Book"/>
        <w:color w:val="FF0000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инд.код  05393079, ИНН 053930704039 </w:t>
    </w:r>
    <w:r>
      <w:rPr>
        <w:rFonts w:ascii="Franklin Gothic Medium" w:hAnsi="Franklin Gothic Medium"/>
        <w:color w:val="E87722"/>
        <w:sz w:val="16"/>
        <w:szCs w:val="16"/>
        <w:lang w:val="ru-RU"/>
      </w:rPr>
      <w:t xml:space="preserve"> </w:t>
    </w:r>
  </w:p>
  <w:p>
    <w:pPr>
      <w:pStyle w:val="Footer"/>
      <w:tabs>
        <w:tab w:val="clear" w:pos="4320"/>
        <w:tab w:val="clear" w:pos="8640"/>
      </w:tabs>
      <w:ind w:left="-907" w:right="360"/>
      <w:jc w:val="right"/>
      <w:rPr>
        <w:rFonts w:ascii="Franklin Gothic Book" w:hAnsi="Franklin Gothic Book"/>
        <w:spacing w:val="-2"/>
        <w:sz w:val="16"/>
        <w:szCs w:val="16"/>
        <w:lang w:val="ru-RU"/>
      </w:rPr>
    </w:pPr>
    <w:r>
      <w:rPr>
        <w:rFonts w:ascii="Franklin Gothic Book" w:hAnsi="Franklin Gothic Book"/>
        <w:spacing w:val="-2"/>
        <w:sz w:val="16"/>
        <w:szCs w:val="16"/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Franklin Gothic Book" w:hAnsi="Franklin Gothic Book" w:cs="PFAgoraSansPro-Medium"/>
        <w:sz w:val="16"/>
        <w:szCs w:val="16"/>
        <w:lang w:val="ru-RU"/>
      </w:rPr>
    </w:pP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</w:t>
    </w:r>
    <w:r>
      <w:rPr>
        <w:rFonts w:cs="PFAgoraSansPro-Medium" w:ascii="Franklin Gothic Medium" w:hAnsi="Franklin Gothic Medium"/>
        <w:sz w:val="16"/>
        <w:szCs w:val="16"/>
        <w:lang w:val="ru-RU"/>
      </w:rPr>
      <w:t>Частное акционерное  общество «ЮЖКОКС»</w:t>
    </w:r>
    <w:r>
      <w:rPr>
        <w:rFonts w:ascii="Arial" w:hAnsi="Arial"/>
        <w:color w:val="E93313"/>
        <w:sz w:val="16"/>
        <w:szCs w:val="16"/>
        <w:lang w:val="ru-RU"/>
      </w:rPr>
      <w:t xml:space="preserve">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color w:val="DA291C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ул. Вячеслава Черновола, 1, г. </w:t>
    </w:r>
    <w:r>
      <w:rPr>
        <w:rFonts w:cs="Arial" w:ascii="Arial" w:hAnsi="Arial"/>
        <w:sz w:val="16"/>
        <w:szCs w:val="16"/>
        <w:lang w:val="ru-RU"/>
      </w:rPr>
      <w:t>Каменское,  Днепропетровская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область, Украина, 51909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тел. (0569) 56-52-03, факс (0569) 56-52-29 </w:t>
    </w:r>
    <w:r>
      <w:rPr>
        <w:rFonts w:ascii="Wingdings" w:hAnsi="Wingdings"/>
        <w:color w:val="E87722"/>
        <w:sz w:val="16"/>
        <w:szCs w:val="16"/>
      </w:rPr>
      <w:t>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</w:rPr>
      <w:t>e</w:t>
    </w:r>
    <w:r>
      <w:rPr>
        <w:rFonts w:cs="PFAgoraSansPro-Medium" w:ascii="Franklin Gothic Book" w:hAnsi="Franklin Gothic Book"/>
        <w:sz w:val="16"/>
        <w:szCs w:val="16"/>
        <w:lang w:val="ru-RU"/>
      </w:rPr>
      <w:t>-</w:t>
    </w:r>
    <w:r>
      <w:rPr>
        <w:rFonts w:cs="PFAgoraSansPro-Medium" w:ascii="Franklin Gothic Book" w:hAnsi="Franklin Gothic Book"/>
        <w:sz w:val="16"/>
        <w:szCs w:val="16"/>
      </w:rPr>
      <w:t>mail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:  </w:t>
    </w:r>
    <w:r>
      <w:rPr>
        <w:rFonts w:cs="Arial" w:ascii="Franklin Gothic Medium" w:hAnsi="Franklin Gothic Medium"/>
        <w:sz w:val="16"/>
        <w:szCs w:val="16"/>
        <w:lang w:val="ru-RU"/>
      </w:rPr>
      <w:t>Sekretar@</w:t>
    </w:r>
    <w:r>
      <w:rPr>
        <w:rFonts w:cs="Arial" w:ascii="Franklin Gothic Medium" w:hAnsi="Franklin Gothic Medium"/>
        <w:sz w:val="16"/>
        <w:szCs w:val="16"/>
      </w:rPr>
      <w:t>bkoks</w:t>
    </w:r>
    <w:r>
      <w:rPr>
        <w:rFonts w:cs="Arial" w:ascii="Franklin Gothic Medium" w:hAnsi="Franklin Gothic Medium"/>
        <w:sz w:val="16"/>
        <w:szCs w:val="16"/>
        <w:lang w:val="ru-RU"/>
      </w:rPr>
      <w:t>.</w:t>
    </w:r>
    <w:r>
      <w:rPr>
        <w:rFonts w:cs="Arial" w:ascii="Franklin Gothic Medium" w:hAnsi="Franklin Gothic Medium"/>
        <w:sz w:val="16"/>
        <w:szCs w:val="16"/>
      </w:rPr>
      <w:t>dp</w:t>
    </w:r>
    <w:r>
      <w:rPr>
        <w:rFonts w:cs="Arial" w:ascii="Franklin Gothic Medium" w:hAnsi="Franklin Gothic Medium"/>
        <w:sz w:val="16"/>
        <w:szCs w:val="16"/>
        <w:lang w:val="ru-RU"/>
      </w:rPr>
      <w:t>.</w:t>
    </w:r>
    <w:r>
      <w:rPr>
        <w:rFonts w:cs="Arial" w:ascii="Franklin Gothic Medium" w:hAnsi="Franklin Gothic Medium"/>
        <w:sz w:val="16"/>
        <w:szCs w:val="16"/>
      </w:rPr>
      <w:t>ua</w:t>
    </w:r>
    <w:r>
      <w:rPr>
        <w:rFonts w:cs="PFAgoraSansPro-Medium" w:ascii="Franklin Gothic Book" w:hAnsi="Franklin Gothic Book"/>
        <w:color w:val="FF0000"/>
        <w:sz w:val="16"/>
        <w:szCs w:val="16"/>
        <w:lang w:val="ru-RU"/>
      </w:rPr>
      <w:t xml:space="preserve"> </w:t>
    </w:r>
    <w:r>
      <w:rPr>
        <w:rFonts w:cs="PFAgoraSansPro-Medium" w:ascii="Franklin Gothic Book" w:hAnsi="Franklin Gothic Book"/>
        <w:sz w:val="16"/>
        <w:szCs w:val="16"/>
        <w:lang w:val="ru-RU"/>
      </w:rPr>
      <w:t xml:space="preserve"> инд.код  05393079, ИНН 053930704039 </w:t>
    </w:r>
    <w:r>
      <w:rPr>
        <w:rFonts w:ascii="Franklin Gothic Medium" w:hAnsi="Franklin Gothic Medium"/>
        <w:color w:val="E87722"/>
        <w:sz w:val="16"/>
        <w:szCs w:val="16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embedSystemFonts/>
  <w:defaultTabStop w:val="720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59a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n-US" w:eastAsia="en-US" w:bidi="ar-SA"/>
    </w:rPr>
  </w:style>
  <w:style w:type="paragraph" w:styleId="Heading4">
    <w:name w:val="heading 4"/>
    <w:basedOn w:val="Normal"/>
    <w:next w:val="Normal"/>
    <w:link w:val="4"/>
    <w:unhideWhenUsed/>
    <w:qFormat/>
    <w:locked/>
    <w:rsid w:val="00f54120"/>
    <w:pPr>
      <w:keepNext w:val="true"/>
      <w:keepLines/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2"/>
      <w:szCs w:val="22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ій колонтитул Знак"/>
    <w:basedOn w:val="DefaultParagraphFont"/>
    <w:uiPriority w:val="99"/>
    <w:qFormat/>
    <w:locked/>
    <w:rsid w:val="00e751d7"/>
    <w:rPr>
      <w:rFonts w:cs="Times New Roman"/>
    </w:rPr>
  </w:style>
  <w:style w:type="character" w:styleId="Style14" w:customStyle="1">
    <w:name w:val="Нижній колонтитул Знак"/>
    <w:basedOn w:val="DefaultParagraphFont"/>
    <w:uiPriority w:val="99"/>
    <w:qFormat/>
    <w:locked/>
    <w:rsid w:val="00e751d7"/>
    <w:rPr>
      <w:rFonts w:cs="Times New Roman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locked/>
    <w:rsid w:val="00e751d7"/>
    <w:rPr>
      <w:rFonts w:ascii="Lucida Grande" w:hAnsi="Lucida Grande" w:cs="Times New Roman"/>
      <w:sz w:val="18"/>
    </w:rPr>
  </w:style>
  <w:style w:type="character" w:styleId="PageNumber">
    <w:name w:val="page number"/>
    <w:basedOn w:val="DefaultParagraphFont"/>
    <w:uiPriority w:val="99"/>
    <w:semiHidden/>
    <w:rsid w:val="004333ab"/>
    <w:rPr>
      <w:rFonts w:cs="Times New Roman"/>
    </w:rPr>
  </w:style>
  <w:style w:type="character" w:styleId="Hyperlink">
    <w:name w:val="Hyperlink"/>
    <w:basedOn w:val="DefaultParagraphFont"/>
    <w:uiPriority w:val="99"/>
    <w:rsid w:val="00be00f4"/>
    <w:rPr>
      <w:rFonts w:cs="Times New Roman"/>
      <w:color w:val="0000FF"/>
      <w:u w:val="single"/>
    </w:rPr>
  </w:style>
  <w:style w:type="character" w:styleId="4" w:customStyle="1">
    <w:name w:val="Заголовок 4 Знак"/>
    <w:basedOn w:val="DefaultParagraphFont"/>
    <w:qFormat/>
    <w:rsid w:val="00f54120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val="ru-RU" w:eastAsia="ru-RU"/>
    </w:rPr>
  </w:style>
  <w:style w:type="character" w:styleId="Style16" w:customStyle="1">
    <w:name w:val="Основний текст з відступом Знак"/>
    <w:basedOn w:val="DefaultParagraphFont"/>
    <w:qFormat/>
    <w:rsid w:val="00f54120"/>
    <w:rPr>
      <w:rFonts w:ascii="Bookman Old Style" w:hAnsi="Bookman Old Style" w:eastAsia="Times New Roman"/>
      <w:sz w:val="28"/>
      <w:szCs w:val="20"/>
      <w:lang w:val="ru-RU" w:eastAsia="ru-RU"/>
    </w:rPr>
  </w:style>
  <w:style w:type="character" w:styleId="3" w:customStyle="1">
    <w:name w:val="Основний текст з відступом 3 Знак"/>
    <w:basedOn w:val="DefaultParagraphFont"/>
    <w:link w:val="BodyTextIndent3"/>
    <w:qFormat/>
    <w:rsid w:val="00f54120"/>
    <w:rPr>
      <w:rFonts w:ascii="Bookman Old Style" w:hAnsi="Bookman Old Style" w:eastAsia="Times New Roman"/>
      <w:sz w:val="28"/>
      <w:szCs w:val="20"/>
      <w:lang w:val="ru-RU" w:eastAsia="ru-RU"/>
    </w:rPr>
  </w:style>
  <w:style w:type="character" w:styleId="shorttext" w:customStyle="1">
    <w:name w:val="short_text"/>
    <w:basedOn w:val="DefaultParagraphFont"/>
    <w:qFormat/>
    <w:rsid w:val="009e5a9c"/>
    <w:rPr/>
  </w:style>
  <w:style w:type="character" w:styleId="CommentReference">
    <w:name w:val="annotation reference"/>
    <w:uiPriority w:val="99"/>
    <w:semiHidden/>
    <w:unhideWhenUsed/>
    <w:qFormat/>
    <w:rsid w:val="00660c76"/>
    <w:rPr>
      <w:sz w:val="16"/>
      <w:szCs w:val="16"/>
    </w:rPr>
  </w:style>
  <w:style w:type="character" w:styleId="Style17" w:customStyle="1">
    <w:name w:val="Текст примітки Знак"/>
    <w:basedOn w:val="DefaultParagraphFont"/>
    <w:uiPriority w:val="99"/>
    <w:semiHidden/>
    <w:qFormat/>
    <w:rsid w:val="00660c76"/>
    <w:rPr>
      <w:rFonts w:ascii="Calibri" w:hAnsi="Calibri" w:eastAsia="Calibri"/>
      <w:sz w:val="20"/>
      <w:szCs w:val="20"/>
      <w:lang w:val="ru-RU" w:eastAsia="en-US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e751d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Style14"/>
    <w:uiPriority w:val="99"/>
    <w:rsid w:val="00e751d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qFormat/>
    <w:rsid w:val="00e751d7"/>
    <w:pPr/>
    <w:rPr>
      <w:rFonts w:ascii="Lucida Grande" w:hAnsi="Lucida Grande"/>
      <w:sz w:val="18"/>
      <w:szCs w:val="18"/>
      <w:lang w:val="uk-UA" w:eastAsia="uk-UA"/>
    </w:rPr>
  </w:style>
  <w:style w:type="paragraph" w:styleId="head1EVRAZ" w:customStyle="1">
    <w:name w:val="head_1_EVRAZ"/>
    <w:basedOn w:val="Normal"/>
    <w:uiPriority w:val="99"/>
    <w:qFormat/>
    <w:rsid w:val="003208d8"/>
    <w:pPr>
      <w:spacing w:before="0" w:after="200"/>
    </w:pPr>
    <w:rPr>
      <w:rFonts w:ascii="Franklin Gothic Book" w:hAnsi="Franklin Gothic Book"/>
      <w:b/>
      <w:lang w:val="ru-RU"/>
    </w:rPr>
  </w:style>
  <w:style w:type="paragraph" w:styleId="bodyEVRAZ" w:customStyle="1">
    <w:name w:val="body_EVRAZ"/>
    <w:basedOn w:val="Normal"/>
    <w:uiPriority w:val="99"/>
    <w:qFormat/>
    <w:rsid w:val="003208d8"/>
    <w:pPr>
      <w:spacing w:lineRule="exact" w:line="240" w:before="0" w:after="200"/>
      <w:ind w:firstLine="340"/>
    </w:pPr>
    <w:rPr>
      <w:rFonts w:ascii="Franklin Gothic Book" w:hAnsi="Franklin Gothic Book"/>
      <w:sz w:val="20"/>
      <w:szCs w:val="20"/>
      <w:lang w:val="ru-RU"/>
    </w:rPr>
  </w:style>
  <w:style w:type="paragraph" w:styleId="ADDR" w:customStyle="1">
    <w:name w:val="ADDR"/>
    <w:uiPriority w:val="99"/>
    <w:qFormat/>
    <w:rsid w:val="00c9017f"/>
    <w:pPr>
      <w:widowControl/>
      <w:bidi w:val="0"/>
      <w:spacing w:before="0" w:after="0"/>
      <w:jc w:val="left"/>
    </w:pPr>
    <w:rPr>
      <w:rFonts w:ascii="Arial" w:hAnsi="Arial" w:eastAsia="MS Mincho" w:cs="Times New Roman"/>
      <w:color w:val="auto"/>
      <w:kern w:val="0"/>
      <w:sz w:val="15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f54120"/>
    <w:pPr>
      <w:spacing w:lineRule="auto" w:line="276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val="ru-RU" w:eastAsia="ru-RU"/>
    </w:rPr>
  </w:style>
  <w:style w:type="paragraph" w:styleId="BodyTextIndent">
    <w:name w:val="Body Text Indent"/>
    <w:basedOn w:val="Normal"/>
    <w:link w:val="Style16"/>
    <w:unhideWhenUsed/>
    <w:rsid w:val="00f54120"/>
    <w:pPr>
      <w:jc w:val="center"/>
    </w:pPr>
    <w:rPr>
      <w:rFonts w:ascii="Bookman Old Style" w:hAnsi="Bookman Old Style" w:eastAsia="Times New Roman"/>
      <w:sz w:val="28"/>
      <w:szCs w:val="20"/>
      <w:lang w:val="ru-RU" w:eastAsia="ru-RU"/>
    </w:rPr>
  </w:style>
  <w:style w:type="paragraph" w:styleId="BodyTextIndent3">
    <w:name w:val="Body Text Indent 3"/>
    <w:basedOn w:val="Normal"/>
    <w:link w:val="3"/>
    <w:unhideWhenUsed/>
    <w:qFormat/>
    <w:rsid w:val="00f54120"/>
    <w:pPr>
      <w:ind w:firstLine="540"/>
      <w:jc w:val="both"/>
    </w:pPr>
    <w:rPr>
      <w:rFonts w:ascii="Bookman Old Style" w:hAnsi="Bookman Old Style" w:eastAsia="Times New Roman"/>
      <w:sz w:val="28"/>
      <w:szCs w:val="20"/>
      <w:lang w:val="ru-RU" w:eastAsia="ru-RU"/>
    </w:rPr>
  </w:style>
  <w:style w:type="paragraph" w:styleId="NoSpacing">
    <w:name w:val="No Spacing"/>
    <w:uiPriority w:val="1"/>
    <w:qFormat/>
    <w:rsid w:val="00aa76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Default" w:customStyle="1">
    <w:name w:val="Default"/>
    <w:qFormat/>
    <w:rsid w:val="0006050a"/>
    <w:pPr>
      <w:widowControl/>
      <w:bidi w:val="0"/>
      <w:spacing w:before="0" w:after="0"/>
      <w:jc w:val="left"/>
    </w:pPr>
    <w:rPr>
      <w:rFonts w:ascii="Times New Roman" w:hAnsi="Times New Roman" w:eastAsia="Calibri" w:eastAsiaTheme="minorHAnsi" w:cs="Times New Roman"/>
      <w:color w:val="000000"/>
      <w:kern w:val="0"/>
      <w:sz w:val="24"/>
      <w:szCs w:val="24"/>
      <w:lang w:val="ru-RU" w:eastAsia="en-US" w:bidi="ar-SA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660c76"/>
    <w:pPr>
      <w:spacing w:before="0" w:after="200"/>
    </w:pPr>
    <w:rPr>
      <w:rFonts w:ascii="Calibri" w:hAnsi="Calibri" w:eastAsia="Calibri"/>
      <w:sz w:val="20"/>
      <w:szCs w:val="20"/>
      <w:lang w:val="ru-RU"/>
    </w:rPr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142ca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A534-2434-48B9-A949-7D888B8F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559</Words>
  <Characters>3713</Characters>
  <CharactersWithSpaces>4357</CharactersWithSpaces>
  <Paragraphs>32</Paragraphs>
  <Company>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2019-03-20T09:38:47Z</dcterms:created>
  <dc:creator/>
  <dc:description/>
  <dc:language>uk-UA</dc:language>
  <cp:lastModifiedBy/>
  <dcterms:modified xsi:type="dcterms:W3CDTF">2019-03-20T09:38:58Z</dcterms:modified>
  <cp:revision>2</cp:revision>
  <dc:subject/>
  <dc:title>1551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ActionId">
    <vt:lpwstr>1db76560-71e3-48c7-8db8-036376f25733</vt:lpwstr>
  </property>
  <property fmtid="{D5CDD505-2E9C-101B-9397-08002B2CF9AE}" pid="3" name="MSIP_Label_18d9c686-d06c-48f0-a83e-59181f21f34e_ContentBits">
    <vt:lpwstr>0</vt:lpwstr>
  </property>
  <property fmtid="{D5CDD505-2E9C-101B-9397-08002B2CF9AE}" pid="4" name="MSIP_Label_18d9c686-d06c-48f0-a83e-59181f21f34e_Enabled">
    <vt:lpwstr>true</vt:lpwstr>
  </property>
  <property fmtid="{D5CDD505-2E9C-101B-9397-08002B2CF9AE}" pid="5" name="MSIP_Label_18d9c686-d06c-48f0-a83e-59181f21f34e_Method">
    <vt:lpwstr>Standard</vt:lpwstr>
  </property>
  <property fmtid="{D5CDD505-2E9C-101B-9397-08002B2CF9AE}" pid="6" name="MSIP_Label_18d9c686-d06c-48f0-a83e-59181f21f34e_Name">
    <vt:lpwstr>Обмежений доступ (ПРАТ "ЮЖКОКС")</vt:lpwstr>
  </property>
  <property fmtid="{D5CDD505-2E9C-101B-9397-08002B2CF9AE}" pid="7" name="MSIP_Label_18d9c686-d06c-48f0-a83e-59181f21f34e_SetDate">
    <vt:lpwstr>2025-08-12T10:03:49Z</vt:lpwstr>
  </property>
  <property fmtid="{D5CDD505-2E9C-101B-9397-08002B2CF9AE}" pid="8" name="MSIP_Label_18d9c686-d06c-48f0-a83e-59181f21f34e_SiteId">
    <vt:lpwstr>2a061eb0-9ba7-486c-befa-34b852623906</vt:lpwstr>
  </property>
  <property fmtid="{D5CDD505-2E9C-101B-9397-08002B2CF9AE}" pid="9" name="MSIP_Label_18d9c686-d06c-48f0-a83e-59181f21f34e_Tag">
    <vt:lpwstr>10, 3, 0, 1</vt:lpwstr>
  </property>
  <property fmtid="{D5CDD505-2E9C-101B-9397-08002B2CF9AE}" pid="10" name="MSIP_Label_d92777a8-4fe1-4bb5-bf8a-dafd6e0db0a2_ActionId">
    <vt:lpwstr>a3ac59c2-247d-4164-ae7b-edec24258afe</vt:lpwstr>
  </property>
  <property fmtid="{D5CDD505-2E9C-101B-9397-08002B2CF9AE}" pid="11" name="MSIP_Label_d92777a8-4fe1-4bb5-bf8a-dafd6e0db0a2_ContentBits">
    <vt:lpwstr>0</vt:lpwstr>
  </property>
  <property fmtid="{D5CDD505-2E9C-101B-9397-08002B2CF9AE}" pid="12" name="MSIP_Label_d92777a8-4fe1-4bb5-bf8a-dafd6e0db0a2_Enabled">
    <vt:lpwstr>true</vt:lpwstr>
  </property>
  <property fmtid="{D5CDD505-2E9C-101B-9397-08002B2CF9AE}" pid="13" name="MSIP_Label_d92777a8-4fe1-4bb5-bf8a-dafd6e0db0a2_Method">
    <vt:lpwstr>Standard</vt:lpwstr>
  </property>
  <property fmtid="{D5CDD505-2E9C-101B-9397-08002B2CF9AE}" pid="14" name="MSIP_Label_d92777a8-4fe1-4bb5-bf8a-dafd6e0db0a2_Name">
    <vt:lpwstr>Ограниченный доступ</vt:lpwstr>
  </property>
  <property fmtid="{D5CDD505-2E9C-101B-9397-08002B2CF9AE}" pid="15" name="MSIP_Label_d92777a8-4fe1-4bb5-bf8a-dafd6e0db0a2_SetDate">
    <vt:lpwstr>2025-08-12T12:37:39Z</vt:lpwstr>
  </property>
  <property fmtid="{D5CDD505-2E9C-101B-9397-08002B2CF9AE}" pid="16" name="MSIP_Label_d92777a8-4fe1-4bb5-bf8a-dafd6e0db0a2_SiteId">
    <vt:lpwstr>b0bbbc89-2041-434f-8618-bc081a1a01d4</vt:lpwstr>
  </property>
  <property fmtid="{D5CDD505-2E9C-101B-9397-08002B2CF9AE}" pid="17" name="MSIP_Label_d92777a8-4fe1-4bb5-bf8a-dafd6e0db0a2_Tag">
    <vt:lpwstr>10, 3, 0, 1</vt:lpwstr>
  </property>
</Properties>
</file>